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9B05C" w14:textId="2D0EE717" w:rsidR="003D37CE" w:rsidRDefault="003D37CE" w:rsidP="003D37CE">
      <w:pPr>
        <w:spacing w:after="0" w:line="240" w:lineRule="auto"/>
        <w:ind w:left="4253"/>
        <w:jc w:val="both"/>
        <w:rPr>
          <w:rFonts w:ascii="Calibri" w:eastAsia="Times New Roman" w:hAnsi="Calibri" w:cs="Calibri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ДО</w:t>
      </w:r>
      <w:r w:rsidRPr="003D37CE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Комисия за енергийно и водно регулиране (КЕВР)</w:t>
      </w:r>
      <w:r w:rsidRPr="003D37CE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гр. София</w:t>
      </w:r>
    </w:p>
    <w:p w14:paraId="2FC43506" w14:textId="77777777" w:rsidR="003D37CE" w:rsidRDefault="003D37CE" w:rsidP="003D37CE">
      <w:pPr>
        <w:spacing w:after="0" w:line="240" w:lineRule="auto"/>
        <w:ind w:left="4253"/>
        <w:jc w:val="both"/>
        <w:rPr>
          <w:rFonts w:ascii="Calibri" w:eastAsia="Times New Roman" w:hAnsi="Calibri" w:cs="Calibri"/>
          <w:color w:val="000000"/>
          <w:sz w:val="24"/>
          <w:szCs w:val="24"/>
          <w:lang w:eastAsia="bg-BG"/>
        </w:rPr>
      </w:pPr>
    </w:p>
    <w:p w14:paraId="07A573B7" w14:textId="77777777" w:rsidR="003D37CE" w:rsidRPr="003D37CE" w:rsidRDefault="003D37CE" w:rsidP="003D37CE">
      <w:pPr>
        <w:spacing w:after="0" w:line="240" w:lineRule="auto"/>
        <w:ind w:left="4253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</w:p>
    <w:p w14:paraId="0DEF7F2F" w14:textId="77777777" w:rsidR="003D37CE" w:rsidRPr="003D37CE" w:rsidRDefault="003D37CE" w:rsidP="003D37CE">
      <w:pPr>
        <w:spacing w:after="0" w:line="240" w:lineRule="auto"/>
        <w:ind w:left="4253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 </w:t>
      </w:r>
    </w:p>
    <w:p w14:paraId="37EEE5AC" w14:textId="7154F830" w:rsidR="003D37CE" w:rsidRDefault="003D37CE" w:rsidP="003D37CE">
      <w:pPr>
        <w:pStyle w:val="Title"/>
        <w:jc w:val="center"/>
        <w:rPr>
          <w:rFonts w:asciiTheme="minorHAnsi" w:eastAsia="Times New Roman" w:hAnsiTheme="minorHAnsi" w:cstheme="minorHAnsi"/>
          <w:lang w:eastAsia="bg-BG"/>
        </w:rPr>
      </w:pPr>
      <w:r w:rsidRPr="003D37CE">
        <w:rPr>
          <w:rFonts w:asciiTheme="minorHAnsi" w:eastAsia="Times New Roman" w:hAnsiTheme="minorHAnsi" w:cstheme="minorHAnsi"/>
          <w:lang w:eastAsia="bg-BG"/>
        </w:rPr>
        <w:t>Ж А Л Б А</w:t>
      </w:r>
    </w:p>
    <w:p w14:paraId="63C238EE" w14:textId="77777777" w:rsidR="003D37CE" w:rsidRPr="003D37CE" w:rsidRDefault="003D37CE" w:rsidP="003D37CE">
      <w:pPr>
        <w:rPr>
          <w:lang w:eastAsia="bg-BG"/>
        </w:rPr>
      </w:pPr>
    </w:p>
    <w:p w14:paraId="62EDC8C8" w14:textId="77777777" w:rsidR="003D37CE" w:rsidRPr="003D37CE" w:rsidRDefault="003D37CE" w:rsidP="003D37CE">
      <w:pPr>
        <w:spacing w:after="0" w:line="240" w:lineRule="auto"/>
        <w:ind w:left="4253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 </w:t>
      </w:r>
    </w:p>
    <w:p w14:paraId="70DD079A" w14:textId="3E1DFCE6" w:rsidR="003D37CE" w:rsidRPr="003D37CE" w:rsidRDefault="003D37CE" w:rsidP="003D37C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vertAlign w:val="superscript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От: …………</w:t>
      </w:r>
      <w:r>
        <w:rPr>
          <w:rFonts w:ascii="Calibri" w:eastAsia="Times New Roman" w:hAnsi="Calibri" w:cs="Calibri"/>
          <w:color w:val="000000"/>
          <w:sz w:val="24"/>
          <w:szCs w:val="24"/>
          <w:lang w:val="en-US" w:eastAsia="bg-BG"/>
        </w:rPr>
        <w:t>………………………………………………………………………………………………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……………………………….</w:t>
      </w:r>
      <w:r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br/>
      </w:r>
      <w:r w:rsidRPr="003D37CE">
        <w:rPr>
          <w:rFonts w:ascii="Calibri" w:eastAsia="Times New Roman" w:hAnsi="Calibri" w:cs="Calibri"/>
          <w:color w:val="000000"/>
          <w:sz w:val="24"/>
          <w:szCs w:val="24"/>
          <w:vertAlign w:val="superscript"/>
          <w:lang w:eastAsia="bg-BG"/>
        </w:rPr>
        <w:t>(трите имена на жалбоподателя)</w:t>
      </w:r>
    </w:p>
    <w:p w14:paraId="791B0290" w14:textId="77777777" w:rsidR="003D37CE" w:rsidRDefault="003D37CE" w:rsidP="003D37C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br/>
        <w:t>Адрес: гр. …………………………………</w:t>
      </w:r>
      <w:r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…</w:t>
      </w:r>
      <w:r>
        <w:rPr>
          <w:rFonts w:ascii="Calibri" w:eastAsia="Times New Roman" w:hAnsi="Calibri" w:cs="Calibri"/>
          <w:color w:val="000000"/>
          <w:sz w:val="24"/>
          <w:szCs w:val="24"/>
          <w:lang w:val="en-US" w:eastAsia="bg-BG"/>
        </w:rPr>
        <w:t>..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, ул. „………………………………………</w:t>
      </w:r>
      <w:r>
        <w:rPr>
          <w:rFonts w:ascii="Calibri" w:eastAsia="Times New Roman" w:hAnsi="Calibri" w:cs="Calibri"/>
          <w:color w:val="000000"/>
          <w:sz w:val="24"/>
          <w:szCs w:val="24"/>
          <w:lang w:val="en-US" w:eastAsia="bg-BG"/>
        </w:rPr>
        <w:t>…………………………..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“ №</w:t>
      </w:r>
      <w:r>
        <w:rPr>
          <w:rFonts w:ascii="Calibri" w:eastAsia="Times New Roman" w:hAnsi="Calibri" w:cs="Calibri"/>
          <w:color w:val="000000"/>
          <w:sz w:val="24"/>
          <w:szCs w:val="24"/>
          <w:lang w:val="en-US" w:eastAsia="bg-BG"/>
        </w:rPr>
        <w:t>….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…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br/>
      </w:r>
    </w:p>
    <w:p w14:paraId="573C7D91" w14:textId="234A6BEC" w:rsidR="003D37CE" w:rsidRPr="003D37CE" w:rsidRDefault="003D37CE" w:rsidP="003D37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Телефон / E-mail: .........................................................</w:t>
      </w:r>
    </w:p>
    <w:p w14:paraId="46AA0682" w14:textId="77777777" w:rsidR="003D37CE" w:rsidRPr="003D37CE" w:rsidRDefault="003D37CE" w:rsidP="003D37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 </w:t>
      </w:r>
    </w:p>
    <w:p w14:paraId="03C8731C" w14:textId="77777777" w:rsidR="003D37CE" w:rsidRPr="003D37CE" w:rsidRDefault="003D37CE" w:rsidP="003D37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bg-BG"/>
        </w:rPr>
        <w:t>Относно</w:t>
      </w: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: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 Съмнения за необосновано завишени сметки за електрическа енергия за месеците декември и януари; потенциални нарушения от страна на „EVN България Електроснабдяване“ ЕАД и/или „Електроразпределение Юг“ ЕАД, свързани с отчитането, фактурирането, прозрачността, методологията за формиране на сметките и евентуално неизпълнение на задължения по ЗЕ, ПТЕЕ и нормативните актове, регулиращи сектора.</w:t>
      </w:r>
    </w:p>
    <w:p w14:paraId="3BF4B065" w14:textId="77777777" w:rsidR="003D37CE" w:rsidRPr="003D37CE" w:rsidRDefault="003D37CE" w:rsidP="003D37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 </w:t>
      </w:r>
    </w:p>
    <w:p w14:paraId="351FE783" w14:textId="77777777" w:rsidR="003D37CE" w:rsidRPr="003D37CE" w:rsidRDefault="003D37CE" w:rsidP="003D37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bg-BG"/>
        </w:rPr>
        <w:t>На основание</w:t>
      </w: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:</w:t>
      </w:r>
      <w:r w:rsidRPr="003D37CE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Закона за енергетиката (ЗЕ), Правилата за търговия с електрическа енергия (ПТЕЕ), Правилата за измерване на количеството електрическа енергия (ПИКЕЕ),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br/>
        <w:t>както и регулаторните правомощия на КЕВР по чл. 21, чл. 22 и чл. 39 ЗЕ.</w:t>
      </w:r>
    </w:p>
    <w:p w14:paraId="240157BF" w14:textId="77777777" w:rsidR="003D37CE" w:rsidRPr="003D37CE" w:rsidRDefault="003D37CE" w:rsidP="003D37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 </w:t>
      </w:r>
    </w:p>
    <w:p w14:paraId="628FF4FB" w14:textId="77777777" w:rsidR="003D37CE" w:rsidRPr="003D37CE" w:rsidRDefault="003D37CE" w:rsidP="003D37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 </w:t>
      </w:r>
    </w:p>
    <w:p w14:paraId="47B61CAC" w14:textId="77777777" w:rsidR="003D37CE" w:rsidRPr="003D37CE" w:rsidRDefault="003D37CE" w:rsidP="003D37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УВАЖАЕМИ ДАМИ И ГОСПОДА ЧЛЕНОВЕ НА КОМИСИЯТА,</w:t>
      </w:r>
    </w:p>
    <w:p w14:paraId="3076C402" w14:textId="77777777" w:rsidR="003D37CE" w:rsidRPr="003D37CE" w:rsidRDefault="003D37CE" w:rsidP="003D37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 </w:t>
      </w:r>
    </w:p>
    <w:p w14:paraId="574A4C2E" w14:textId="77777777" w:rsidR="003D37CE" w:rsidRPr="003D37CE" w:rsidRDefault="003D37CE" w:rsidP="003D37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 </w:t>
      </w:r>
    </w:p>
    <w:p w14:paraId="5859572D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С настоящата жалба Ви сезирам относно действия на „EVN България Електроснабдяване“ ЕАД (краен снабдител) и/или „Електроразпределение Юг“ ЕАД (оператор на електроразпределителна мрежа), които пораждат сериозни съмнения за неправилно отчитане, некоректно фактуриране, липса на прозрачност и практики, които могат да нарушават правата на потребителите, гарантирани от ЗЕ и подзаконовите актове на КЕВР.</w:t>
      </w:r>
    </w:p>
    <w:p w14:paraId="76724AB6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През месеците </w:t>
      </w: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декември и януари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 аз, както и множество други граждани на гр. Пловдив, получихме </w:t>
      </w: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значително завишени сметки за електрическа енергия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, които:</w:t>
      </w:r>
    </w:p>
    <w:p w14:paraId="19A92181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-</w:t>
      </w:r>
      <w:r w:rsidRPr="003D37CE">
        <w:rPr>
          <w:rFonts w:ascii="Times New Roman" w:eastAsia="Times New Roman" w:hAnsi="Times New Roman" w:cs="Times New Roman"/>
          <w:color w:val="000000"/>
          <w:sz w:val="14"/>
          <w:szCs w:val="14"/>
          <w:lang w:eastAsia="bg-BG"/>
        </w:rPr>
        <w:t xml:space="preserve">     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са </w:t>
      </w: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нереалистично по-високи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 от сметките за аналогични периоди в предходни години;</w:t>
      </w:r>
    </w:p>
    <w:p w14:paraId="08770F3C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-</w:t>
      </w:r>
      <w:r w:rsidRPr="003D37CE">
        <w:rPr>
          <w:rFonts w:ascii="Times New Roman" w:eastAsia="Times New Roman" w:hAnsi="Times New Roman" w:cs="Times New Roman"/>
          <w:color w:val="000000"/>
          <w:sz w:val="14"/>
          <w:szCs w:val="14"/>
          <w:lang w:eastAsia="bg-BG"/>
        </w:rPr>
        <w:t xml:space="preserve">     </w:t>
      </w: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не кореспондират с отчетеното реално потребление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, видно от справките на електромера;</w:t>
      </w:r>
    </w:p>
    <w:p w14:paraId="5A901B34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-</w:t>
      </w:r>
      <w:r w:rsidRPr="003D37CE">
        <w:rPr>
          <w:rFonts w:ascii="Times New Roman" w:eastAsia="Times New Roman" w:hAnsi="Times New Roman" w:cs="Times New Roman"/>
          <w:color w:val="000000"/>
          <w:sz w:val="14"/>
          <w:szCs w:val="14"/>
          <w:lang w:eastAsia="bg-BG"/>
        </w:rPr>
        <w:t xml:space="preserve">     </w:t>
      </w: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не са придружени с ясна и разбираема разбивка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, както се изисква от ПТЕЕ и ПИКЕЕ;</w:t>
      </w:r>
    </w:p>
    <w:p w14:paraId="657092BF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-</w:t>
      </w:r>
      <w:r w:rsidRPr="003D37CE">
        <w:rPr>
          <w:rFonts w:ascii="Times New Roman" w:eastAsia="Times New Roman" w:hAnsi="Times New Roman" w:cs="Times New Roman"/>
          <w:color w:val="000000"/>
          <w:sz w:val="14"/>
          <w:szCs w:val="14"/>
          <w:lang w:eastAsia="bg-BG"/>
        </w:rPr>
        <w:t xml:space="preserve">     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пораждат съмнения за </w:t>
      </w: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непрозрачна методология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, неправилни корекции, възможни грешки в отчетните периоди или в изчисленията.</w:t>
      </w:r>
    </w:p>
    <w:p w14:paraId="2ABAA911" w14:textId="77777777" w:rsidR="003D37CE" w:rsidRPr="003D37CE" w:rsidRDefault="003D37CE" w:rsidP="003D3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D37CE">
        <w:rPr>
          <w:rFonts w:ascii="Times New Roman" w:eastAsia="Times New Roman" w:hAnsi="Times New Roman" w:cs="Times New Roman"/>
          <w:sz w:val="24"/>
          <w:szCs w:val="24"/>
          <w:lang w:eastAsia="bg-BG"/>
        </w:rPr>
        <w:pict w14:anchorId="788888EC">
          <v:rect id="_x0000_i1025" style="width:0;height:1.5pt" o:hralign="center" o:hrstd="t" o:hr="t" fillcolor="#a0a0a0" stroked="f"/>
        </w:pict>
      </w:r>
    </w:p>
    <w:p w14:paraId="55F4B86E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lastRenderedPageBreak/>
        <w:t> </w:t>
      </w:r>
    </w:p>
    <w:p w14:paraId="28544A33" w14:textId="77777777" w:rsidR="003D37CE" w:rsidRPr="003D37CE" w:rsidRDefault="003D37CE" w:rsidP="003D37CE">
      <w:pPr>
        <w:spacing w:after="0" w:line="240" w:lineRule="auto"/>
        <w:ind w:left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bg-BG"/>
        </w:rPr>
        <w:t>1.По фактите</w:t>
      </w: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.</w:t>
      </w:r>
    </w:p>
    <w:p w14:paraId="44AF5221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В периода декември–януари получих сметки, които са между </w:t>
      </w: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30% и 100% по-високи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 от тези за предходни години при аналогично потребление. При проверка на електромера </w:t>
      </w: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не е налице реално увеличение на консумираната енергия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, което би обосновало подобно нарастване.</w:t>
      </w:r>
    </w:p>
    <w:p w14:paraId="14EEA065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На сайта на EVN и в кореспонденция с дружеството </w:t>
      </w: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не се предоставя достатъчна, точна и разбираема информация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 относно:</w:t>
      </w:r>
    </w:p>
    <w:p w14:paraId="218C0574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-механизма за изчисление на сметката;</w:t>
      </w:r>
    </w:p>
    <w:p w14:paraId="13BA06EA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-причините за отчетното увеличение;</w:t>
      </w:r>
    </w:p>
    <w:p w14:paraId="62A7F554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-промени в тарифите или периодите;</w:t>
      </w:r>
    </w:p>
    <w:p w14:paraId="607B8BCD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-приложени корекции, коефициенти или технологични разходи.</w:t>
      </w:r>
    </w:p>
    <w:p w14:paraId="7EAF3413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В публичното пространство – социални мрежи, форуми, регионални медии – </w:t>
      </w: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множество потребители от Пловдив и цялата страна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 съобщават за идентични проблеми, което поражда съмнение за </w:t>
      </w: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системност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, а не за индивидуална грешка.</w:t>
      </w:r>
    </w:p>
    <w:p w14:paraId="226DBFBB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 </w:t>
      </w:r>
    </w:p>
    <w:p w14:paraId="6761221A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bg-BG"/>
        </w:rPr>
        <w:t>2. Потенциални нарушения, попадащи в компетентността на КЕВР</w:t>
      </w: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.</w:t>
      </w:r>
    </w:p>
    <w:p w14:paraId="14662FFE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2.1. Нарушения на Правилата за измерване на количеството електрическа енергия (ПИКЕЕ)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.</w:t>
      </w:r>
    </w:p>
    <w:p w14:paraId="2F4BD002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Възможно е да са нарушени изисквания за:</w:t>
      </w:r>
    </w:p>
    <w:p w14:paraId="0A77A111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-</w:t>
      </w:r>
      <w:r w:rsidRPr="003D37CE">
        <w:rPr>
          <w:rFonts w:ascii="Times New Roman" w:eastAsia="Times New Roman" w:hAnsi="Times New Roman" w:cs="Times New Roman"/>
          <w:color w:val="000000"/>
          <w:sz w:val="14"/>
          <w:szCs w:val="14"/>
          <w:lang w:eastAsia="bg-BG"/>
        </w:rPr>
        <w:t xml:space="preserve">     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коректно и периодично отчитане на средствата за търговско измерване;</w:t>
      </w:r>
    </w:p>
    <w:p w14:paraId="2A6AAF77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-</w:t>
      </w:r>
      <w:r w:rsidRPr="003D37CE">
        <w:rPr>
          <w:rFonts w:ascii="Times New Roman" w:eastAsia="Times New Roman" w:hAnsi="Times New Roman" w:cs="Times New Roman"/>
          <w:color w:val="000000"/>
          <w:sz w:val="14"/>
          <w:szCs w:val="14"/>
          <w:lang w:eastAsia="bg-BG"/>
        </w:rPr>
        <w:t xml:space="preserve">     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точност и проследимост на данните;</w:t>
      </w:r>
    </w:p>
    <w:p w14:paraId="59DA3B1A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-</w:t>
      </w:r>
      <w:r w:rsidRPr="003D37CE">
        <w:rPr>
          <w:rFonts w:ascii="Times New Roman" w:eastAsia="Times New Roman" w:hAnsi="Times New Roman" w:cs="Times New Roman"/>
          <w:color w:val="000000"/>
          <w:sz w:val="14"/>
          <w:szCs w:val="14"/>
          <w:lang w:eastAsia="bg-BG"/>
        </w:rPr>
        <w:t xml:space="preserve">     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предоставяне на информация за отчетния период;</w:t>
      </w:r>
    </w:p>
    <w:p w14:paraId="241A2A3E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-</w:t>
      </w:r>
      <w:r w:rsidRPr="003D37CE">
        <w:rPr>
          <w:rFonts w:ascii="Times New Roman" w:eastAsia="Times New Roman" w:hAnsi="Times New Roman" w:cs="Times New Roman"/>
          <w:color w:val="000000"/>
          <w:sz w:val="14"/>
          <w:szCs w:val="14"/>
          <w:lang w:eastAsia="bg-BG"/>
        </w:rPr>
        <w:t xml:space="preserve">     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липса на яснота относно корекционни процедури.</w:t>
      </w:r>
    </w:p>
    <w:p w14:paraId="1AD33F2D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ПИКЕЕ, приети с решение на КЕВР на основание чл. 83, ал. 1, т. 6 от Закона за енергетиката, установяват </w:t>
      </w: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задължителния ред и начин за измерване, отчитане, обработване и предоставяне на данни за потребената електрическа енергия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.</w:t>
      </w:r>
    </w:p>
    <w:p w14:paraId="352B7318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Съгласно </w:t>
      </w: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чл. 10–14 ПИКЕЕ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, операторът на електроразпределителната мрежа (ЕРМ) е длъжен да извършва </w:t>
      </w: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редовно, периодично и достоверно отчитане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, като осигурява:</w:t>
      </w:r>
    </w:p>
    <w:p w14:paraId="5EEB4013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-</w:t>
      </w:r>
      <w:r w:rsidRPr="003D37CE">
        <w:rPr>
          <w:rFonts w:ascii="Times New Roman" w:eastAsia="Times New Roman" w:hAnsi="Times New Roman" w:cs="Times New Roman"/>
          <w:color w:val="000000"/>
          <w:sz w:val="14"/>
          <w:szCs w:val="14"/>
          <w:lang w:eastAsia="bg-BG"/>
        </w:rPr>
        <w:t xml:space="preserve">     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достъпност на показанията;</w:t>
      </w:r>
    </w:p>
    <w:p w14:paraId="02060960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-</w:t>
      </w:r>
      <w:r w:rsidRPr="003D37CE">
        <w:rPr>
          <w:rFonts w:ascii="Times New Roman" w:eastAsia="Times New Roman" w:hAnsi="Times New Roman" w:cs="Times New Roman"/>
          <w:color w:val="000000"/>
          <w:sz w:val="14"/>
          <w:szCs w:val="14"/>
          <w:lang w:eastAsia="bg-BG"/>
        </w:rPr>
        <w:t xml:space="preserve">     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отчетност в точно определени периоди;</w:t>
      </w:r>
    </w:p>
    <w:p w14:paraId="3CA24DA4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-</w:t>
      </w:r>
      <w:r w:rsidRPr="003D37CE">
        <w:rPr>
          <w:rFonts w:ascii="Times New Roman" w:eastAsia="Times New Roman" w:hAnsi="Times New Roman" w:cs="Times New Roman"/>
          <w:color w:val="000000"/>
          <w:sz w:val="14"/>
          <w:szCs w:val="14"/>
          <w:lang w:eastAsia="bg-BG"/>
        </w:rPr>
        <w:t xml:space="preserve">     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недопускане на разминаване между реалното потребление и фактурираните количества.</w:t>
      </w:r>
    </w:p>
    <w:p w14:paraId="39895509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Когато фактурираните количества са значително завишени при липса на реално увеличение в показанията, възниква </w:t>
      </w: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съмнение за нарушения на чл. 23–26 ПИКЕЕ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, които уреждат реда за корекции, задължението за документално обосноваване и информиране на клиента, както и забрана за едностранни начисления, които не са подкрепени с доказателства.</w:t>
      </w:r>
    </w:p>
    <w:p w14:paraId="64901D8C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Съгласно </w:t>
      </w: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чл. 50 ПИКЕЕ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, операторът е длъжен да предоставя на клиента </w:t>
      </w: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ясна и недвусмислена информация за отчетените стойности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, както и за периода на отчитане. Липсата на такава прозрачност е пряко нарушение на правилата.</w:t>
      </w:r>
    </w:p>
    <w:p w14:paraId="07CA778D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Поради това завишените сметки при относително непроменено потребление пораждат съмнение, че </w:t>
      </w: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средството за търговско измерване не е отчетено правилно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 или че </w:t>
      </w: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са приложени корекции без необходимата законова процедура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, което се намира в пряк конфликт с ПИКЕЕ.</w:t>
      </w:r>
    </w:p>
    <w:p w14:paraId="7D592114" w14:textId="77777777" w:rsidR="003D37CE" w:rsidRPr="003D37CE" w:rsidRDefault="003D37CE" w:rsidP="003D37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 </w:t>
      </w:r>
    </w:p>
    <w:p w14:paraId="5F56F9B2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lastRenderedPageBreak/>
        <w:t>2.2. Нарушения на Правилата за търговия с електрическа енергия (ПТЕЕ).</w:t>
      </w:r>
    </w:p>
    <w:p w14:paraId="26B5FE34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Съгласно ПТЕЕ крайните снабдители са длъжни да:</w:t>
      </w:r>
    </w:p>
    <w:p w14:paraId="2EE5D0E1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-</w:t>
      </w:r>
      <w:r w:rsidRPr="003D37CE">
        <w:rPr>
          <w:rFonts w:ascii="Times New Roman" w:eastAsia="Times New Roman" w:hAnsi="Times New Roman" w:cs="Times New Roman"/>
          <w:color w:val="000000"/>
          <w:sz w:val="14"/>
          <w:szCs w:val="14"/>
          <w:lang w:eastAsia="bg-BG"/>
        </w:rPr>
        <w:t xml:space="preserve">     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предоставят ясна, подробна и разбираема информация за формирането на сметките;</w:t>
      </w:r>
    </w:p>
    <w:p w14:paraId="418B2639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-</w:t>
      </w:r>
      <w:r w:rsidRPr="003D37CE">
        <w:rPr>
          <w:rFonts w:ascii="Times New Roman" w:eastAsia="Times New Roman" w:hAnsi="Times New Roman" w:cs="Times New Roman"/>
          <w:color w:val="000000"/>
          <w:sz w:val="14"/>
          <w:szCs w:val="14"/>
          <w:lang w:eastAsia="bg-BG"/>
        </w:rPr>
        <w:t xml:space="preserve">     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оповестяват публично всички методики, цени, тарифи и компоненти;</w:t>
      </w:r>
    </w:p>
    <w:p w14:paraId="1246346C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-</w:t>
      </w:r>
      <w:r w:rsidRPr="003D37CE">
        <w:rPr>
          <w:rFonts w:ascii="Times New Roman" w:eastAsia="Times New Roman" w:hAnsi="Times New Roman" w:cs="Times New Roman"/>
          <w:color w:val="000000"/>
          <w:sz w:val="14"/>
          <w:szCs w:val="14"/>
          <w:lang w:eastAsia="bg-BG"/>
        </w:rPr>
        <w:t xml:space="preserve">     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фактурират само реално измерено и доказано потребление;</w:t>
      </w:r>
    </w:p>
    <w:p w14:paraId="2A55D34D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-</w:t>
      </w:r>
      <w:r w:rsidRPr="003D37CE">
        <w:rPr>
          <w:rFonts w:ascii="Times New Roman" w:eastAsia="Times New Roman" w:hAnsi="Times New Roman" w:cs="Times New Roman"/>
          <w:color w:val="000000"/>
          <w:sz w:val="14"/>
          <w:szCs w:val="14"/>
          <w:lang w:eastAsia="bg-BG"/>
        </w:rPr>
        <w:t xml:space="preserve">     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гарантират прозрачност и предвидимост.</w:t>
      </w:r>
    </w:p>
    <w:p w14:paraId="3997F010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Липсата на такава прозрачност относно тези параметри спрямо потребителя представлява нарушение.</w:t>
      </w:r>
    </w:p>
    <w:p w14:paraId="14E16D68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Съгласно </w:t>
      </w:r>
      <w:r w:rsidRPr="003D37CE">
        <w:rPr>
          <w:rFonts w:ascii="Arial" w:eastAsia="Times New Roman" w:hAnsi="Arial" w:cs="Arial"/>
          <w:b/>
          <w:bCs/>
          <w:color w:val="000000"/>
          <w:sz w:val="24"/>
          <w:szCs w:val="24"/>
          <w:lang w:eastAsia="bg-BG"/>
        </w:rPr>
        <w:t>чл. 14, ал. 1 и 2 ПТЕЕ</w:t>
      </w:r>
      <w:r w:rsidRPr="003D37CE">
        <w:rPr>
          <w:rFonts w:ascii="Arial" w:eastAsia="Times New Roman" w:hAnsi="Arial" w:cs="Arial"/>
          <w:color w:val="000000"/>
          <w:sz w:val="24"/>
          <w:szCs w:val="24"/>
          <w:lang w:eastAsia="bg-BG"/>
        </w:rPr>
        <w:t>, снабдителят е длъжен:</w:t>
      </w:r>
    </w:p>
    <w:p w14:paraId="272EEF39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Arial" w:eastAsia="Times New Roman" w:hAnsi="Arial" w:cs="Arial"/>
          <w:color w:val="000000"/>
          <w:sz w:val="24"/>
          <w:szCs w:val="24"/>
          <w:lang w:eastAsia="bg-BG"/>
        </w:rPr>
        <w:t>- да предоставя ясна разбивка на компонентите на цената;</w:t>
      </w:r>
    </w:p>
    <w:p w14:paraId="4E9C1946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Arial" w:eastAsia="Times New Roman" w:hAnsi="Arial" w:cs="Arial"/>
          <w:color w:val="000000"/>
          <w:sz w:val="24"/>
          <w:szCs w:val="24"/>
          <w:lang w:eastAsia="bg-BG"/>
        </w:rPr>
        <w:t>- да уведомява предварително за промени в тарифите;</w:t>
      </w:r>
    </w:p>
    <w:p w14:paraId="55827BC7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- да фактурира само на база </w:t>
      </w:r>
      <w:r w:rsidRPr="003D37CE">
        <w:rPr>
          <w:rFonts w:ascii="Arial" w:eastAsia="Times New Roman" w:hAnsi="Arial" w:cs="Arial"/>
          <w:b/>
          <w:bCs/>
          <w:color w:val="000000"/>
          <w:sz w:val="24"/>
          <w:szCs w:val="24"/>
          <w:lang w:eastAsia="bg-BG"/>
        </w:rPr>
        <w:t>реално отчетена енергия</w:t>
      </w:r>
      <w:r w:rsidRPr="003D37CE">
        <w:rPr>
          <w:rFonts w:ascii="Arial" w:eastAsia="Times New Roman" w:hAnsi="Arial" w:cs="Arial"/>
          <w:color w:val="000000"/>
          <w:sz w:val="24"/>
          <w:szCs w:val="24"/>
          <w:lang w:eastAsia="bg-BG"/>
        </w:rPr>
        <w:t>, проверена от ЕРМ.</w:t>
      </w:r>
    </w:p>
    <w:p w14:paraId="09D369F9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Чл. 24 ПТЕЕ изисква крайните снабдители да осигуряват </w:t>
      </w:r>
      <w:r w:rsidRPr="003D37CE">
        <w:rPr>
          <w:rFonts w:ascii="Arial" w:eastAsia="Times New Roman" w:hAnsi="Arial" w:cs="Arial"/>
          <w:b/>
          <w:bCs/>
          <w:color w:val="000000"/>
          <w:sz w:val="24"/>
          <w:szCs w:val="24"/>
          <w:lang w:eastAsia="bg-BG"/>
        </w:rPr>
        <w:t>пълна прозрачност на ценообразуването</w:t>
      </w:r>
      <w:r w:rsidRPr="003D37CE">
        <w:rPr>
          <w:rFonts w:ascii="Arial" w:eastAsia="Times New Roman" w:hAnsi="Arial" w:cs="Arial"/>
          <w:color w:val="000000"/>
          <w:sz w:val="24"/>
          <w:szCs w:val="24"/>
          <w:lang w:eastAsia="bg-BG"/>
        </w:rPr>
        <w:t>, включително всички ценови компоненти, определени с решения на КЕВР – мрежови услуги, технологични разходи, цена за достъп, цена за пренос, акциз, ДДС и др.</w:t>
      </w:r>
    </w:p>
    <w:p w14:paraId="0E951F6C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Arial" w:eastAsia="Times New Roman" w:hAnsi="Arial" w:cs="Arial"/>
          <w:color w:val="000000"/>
          <w:sz w:val="24"/>
          <w:szCs w:val="24"/>
          <w:lang w:eastAsia="bg-BG"/>
        </w:rPr>
        <w:t>Когато клиент получава сметка, която е:</w:t>
      </w:r>
    </w:p>
    <w:p w14:paraId="09E31AED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Arial" w:eastAsia="Times New Roman" w:hAnsi="Arial" w:cs="Arial"/>
          <w:color w:val="000000"/>
          <w:sz w:val="24"/>
          <w:szCs w:val="24"/>
          <w:lang w:eastAsia="bg-BG"/>
        </w:rPr>
        <w:t>-непропорционално по-висока;</w:t>
      </w:r>
    </w:p>
    <w:p w14:paraId="688C9B69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Arial" w:eastAsia="Times New Roman" w:hAnsi="Arial" w:cs="Arial"/>
          <w:color w:val="000000"/>
          <w:sz w:val="24"/>
          <w:szCs w:val="24"/>
          <w:lang w:eastAsia="bg-BG"/>
        </w:rPr>
        <w:t>-без ясно обяснение за причината;</w:t>
      </w:r>
    </w:p>
    <w:p w14:paraId="7532F684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Arial" w:eastAsia="Times New Roman" w:hAnsi="Arial" w:cs="Arial"/>
          <w:color w:val="000000"/>
          <w:sz w:val="24"/>
          <w:szCs w:val="24"/>
          <w:lang w:eastAsia="bg-BG"/>
        </w:rPr>
        <w:t>- без детайлна разбивка на компонентите;</w:t>
      </w:r>
    </w:p>
    <w:p w14:paraId="3F280AF5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- без коректно поясняване на измервателни периоди и методи, тогава е налице индикация за нарушение на принципите за </w:t>
      </w:r>
      <w:r w:rsidRPr="003D37CE">
        <w:rPr>
          <w:rFonts w:ascii="Arial" w:eastAsia="Times New Roman" w:hAnsi="Arial" w:cs="Arial"/>
          <w:b/>
          <w:bCs/>
          <w:color w:val="000000"/>
          <w:sz w:val="24"/>
          <w:szCs w:val="24"/>
          <w:lang w:eastAsia="bg-BG"/>
        </w:rPr>
        <w:t>прозрачност, информираност и коректност</w:t>
      </w:r>
      <w:r w:rsidRPr="003D37CE">
        <w:rPr>
          <w:rFonts w:ascii="Arial" w:eastAsia="Times New Roman" w:hAnsi="Arial" w:cs="Arial"/>
          <w:color w:val="000000"/>
          <w:sz w:val="24"/>
          <w:szCs w:val="24"/>
          <w:lang w:eastAsia="bg-BG"/>
        </w:rPr>
        <w:t>, регламентирани в ПТЕЕ.</w:t>
      </w:r>
    </w:p>
    <w:p w14:paraId="7E392D25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Допълнително, </w:t>
      </w:r>
      <w:r w:rsidRPr="003D37CE">
        <w:rPr>
          <w:rFonts w:ascii="Arial" w:eastAsia="Times New Roman" w:hAnsi="Arial" w:cs="Arial"/>
          <w:b/>
          <w:bCs/>
          <w:color w:val="000000"/>
          <w:sz w:val="24"/>
          <w:szCs w:val="24"/>
          <w:lang w:eastAsia="bg-BG"/>
        </w:rPr>
        <w:t>чл. 29 ПТЕЕ</w:t>
      </w:r>
      <w:r w:rsidRPr="003D37CE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изисква доставчикът да осигури информацията в разбираем вид. Непрозрачните сметки, липсата на разяснения и непълната фактура противоречат на изрично установените нормативни стандарти.</w:t>
      </w:r>
    </w:p>
    <w:p w14:paraId="7285E3F7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 </w:t>
      </w:r>
    </w:p>
    <w:p w14:paraId="158780EE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2.3. Нарушения на ЗЕ.</w:t>
      </w:r>
    </w:p>
    <w:p w14:paraId="0A69EA3A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Съгласно Закона за енергетиката:</w:t>
      </w:r>
    </w:p>
    <w:p w14:paraId="1C4B7CA7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-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снабдителите следва да действат добросъвестно и да защитават интересите на клиентите;</w:t>
      </w:r>
    </w:p>
    <w:p w14:paraId="16F9D462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 xml:space="preserve">- 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са задължени са да предоставят пълна и достъпна информация;</w:t>
      </w:r>
    </w:p>
    <w:p w14:paraId="0955728C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 xml:space="preserve">- 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нямат право да изискват заплащане за необосновано начислени количества енергия.</w:t>
      </w:r>
    </w:p>
    <w:p w14:paraId="2E180827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ЗЕ е основният нормативен акт, определящ принципите на енергийния пазар.</w:t>
      </w:r>
      <w:r w:rsidRPr="003D37CE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Чл. 13, ал. 2 ЗЕ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 изисква лицензиантите да осигуряват:</w:t>
      </w:r>
    </w:p>
    <w:p w14:paraId="6AFD88D9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- надеждна, качествена и непрекъсната услуга;</w:t>
      </w:r>
    </w:p>
    <w:p w14:paraId="1B77CE04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- спазване на утвърдените от КЕВР стандарти;</w:t>
      </w:r>
    </w:p>
    <w:p w14:paraId="5E27398E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- защита на интересите на потребителите.</w:t>
      </w:r>
    </w:p>
    <w:p w14:paraId="21D7EF14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Съгласно </w:t>
      </w: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чл. 45 ЗЕ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, снабдителят няма право да начислява количества, които не отразяват реалното измерване или не са доказани чрез нормативната процедура.</w:t>
      </w:r>
    </w:p>
    <w:p w14:paraId="73FB9AB8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Чл. 98а ЗЕ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 изисква доставчикът да предоставя ясни, точни и пълни фактури, съдържащи:</w:t>
      </w:r>
    </w:p>
    <w:p w14:paraId="166B777D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-отчетните показания;</w:t>
      </w:r>
    </w:p>
    <w:p w14:paraId="33D3A697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- отчетния период;</w:t>
      </w:r>
    </w:p>
    <w:p w14:paraId="59AAC0D3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lastRenderedPageBreak/>
        <w:t>- приложените тарифи;</w:t>
      </w:r>
    </w:p>
    <w:p w14:paraId="06B453EB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- методологията за изчисление.</w:t>
      </w:r>
    </w:p>
    <w:p w14:paraId="4F041C1D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При липса на ясна информация се нарушава и </w:t>
      </w: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чл. 123 ЗЕ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, който задължава лицензиантите да съдействат на потребителите и да предоставят достъпни данни за проверка на сметките.</w:t>
      </w:r>
    </w:p>
    <w:p w14:paraId="6BB751C9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 </w:t>
      </w:r>
    </w:p>
    <w:p w14:paraId="72C97045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2.4. Възможна злоупотреба с монополно положение.</w:t>
      </w:r>
    </w:p>
    <w:p w14:paraId="34E508C5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EVN е </w:t>
      </w: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единствен краен снабдител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 в региона. Потребителите нямат свободата да сменят доставчик.</w:t>
      </w:r>
      <w:r w:rsidRPr="003D37CE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В тази среда непрозрачните практики могат да представляват </w:t>
      </w: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злоупотреба с по-силна позиция при договаряне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, което подлежи на регулаторен контрол.</w:t>
      </w:r>
    </w:p>
    <w:p w14:paraId="518E313A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Макар пазарът на електроенергия за битови клиенти да е регулиран, EVN притежава </w:t>
      </w: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фактическо монополно положение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 върху услугата „крайно снабдяване“ в региона. Това носи със себе си </w:t>
      </w: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повишени задължения за прозрачност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, произтичащи от:</w:t>
      </w:r>
    </w:p>
    <w:p w14:paraId="570358BC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-</w:t>
      </w:r>
      <w:r w:rsidRPr="003D37CE">
        <w:rPr>
          <w:rFonts w:ascii="Times New Roman" w:eastAsia="Times New Roman" w:hAnsi="Times New Roman" w:cs="Times New Roman"/>
          <w:color w:val="000000"/>
          <w:sz w:val="14"/>
          <w:szCs w:val="14"/>
          <w:lang w:eastAsia="bg-BG"/>
        </w:rPr>
        <w:t xml:space="preserve">     </w:t>
      </w: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чл. 21, ал. 1, т. 13 ЗЕ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 – задължение за недопускане на злоупотреби;</w:t>
      </w:r>
    </w:p>
    <w:p w14:paraId="366FF5E5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-</w:t>
      </w:r>
      <w:r w:rsidRPr="003D37CE">
        <w:rPr>
          <w:rFonts w:ascii="Times New Roman" w:eastAsia="Times New Roman" w:hAnsi="Times New Roman" w:cs="Times New Roman"/>
          <w:color w:val="000000"/>
          <w:sz w:val="14"/>
          <w:szCs w:val="14"/>
          <w:lang w:eastAsia="bg-BG"/>
        </w:rPr>
        <w:t xml:space="preserve">     </w:t>
      </w: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чл. 104 и чл. 106 ЗЕ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 – задължение за равнопоставено третиране на клиентите;</w:t>
      </w:r>
    </w:p>
    <w:p w14:paraId="0039249E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-</w:t>
      </w:r>
      <w:r w:rsidRPr="003D37CE">
        <w:rPr>
          <w:rFonts w:ascii="Times New Roman" w:eastAsia="Times New Roman" w:hAnsi="Times New Roman" w:cs="Times New Roman"/>
          <w:color w:val="000000"/>
          <w:sz w:val="14"/>
          <w:szCs w:val="14"/>
          <w:lang w:eastAsia="bg-BG"/>
        </w:rPr>
        <w:t xml:space="preserve">     </w:t>
      </w: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чл. 122–124 ЗЕ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 – задължение за добросъвестно поведение и информационна прозрачност.</w:t>
      </w:r>
    </w:p>
    <w:p w14:paraId="2B3E6D62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Когато клиент е принуден да приема едностранно определени сметки без обяснение, а доставчикът отказва или не може да предостави разбираема методология, възниква съмнение за </w:t>
      </w: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злоупотреба с по-силна позиция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, което е основание за намеса на КЕВР.</w:t>
      </w:r>
    </w:p>
    <w:p w14:paraId="14F713FC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В условия, в които потребителят няма право да избере друг снабдител и няма реална алтернатива, всяка непрозрачност от страна на доставчика придобива особено тежък характер и може да представлява нарушение на регулаторната рамка.</w:t>
      </w:r>
    </w:p>
    <w:p w14:paraId="65C66211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 </w:t>
      </w:r>
    </w:p>
    <w:p w14:paraId="06AD16DF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bg-BG"/>
        </w:rPr>
        <w:t>3.ПЕТИТУМ</w:t>
      </w: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:</w:t>
      </w:r>
    </w:p>
    <w:p w14:paraId="395323AE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 </w:t>
      </w:r>
    </w:p>
    <w:p w14:paraId="458CACAB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На основание изложеното, </w:t>
      </w: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МОЛЯ КЕВР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:</w:t>
      </w:r>
    </w:p>
    <w:p w14:paraId="40C8E986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3.1.Да извърши регулаторна проверка на „EVN България Електроснабдяване“ ЕАД“ и „Електроразпределение Юг“ ЕАД“, относно:</w:t>
      </w:r>
    </w:p>
    <w:p w14:paraId="76B38581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-начина на отчитане;</w:t>
      </w:r>
    </w:p>
    <w:p w14:paraId="60159F2C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-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формирането на сметките;</w:t>
      </w:r>
    </w:p>
    <w:p w14:paraId="388837D2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-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спазването на ПИКЕЕ и ПТЕЕ;</w:t>
      </w:r>
    </w:p>
    <w:p w14:paraId="5CD24F26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-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наличие на корекции, промени в периодите или други фактори;</w:t>
      </w:r>
    </w:p>
    <w:p w14:paraId="0B33592C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-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техническо състояние на средството за търговско измерване;</w:t>
      </w:r>
    </w:p>
    <w:p w14:paraId="4BF0A3D5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-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прозрачност на предоставяната информация;</w:t>
      </w:r>
    </w:p>
    <w:p w14:paraId="69C9FAB8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-</w:t>
      </w:r>
      <w:r w:rsidRPr="003D37CE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евентуално неправомерно начисляване на количества или компоненти.</w:t>
      </w:r>
    </w:p>
    <w:p w14:paraId="04A4449B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 </w:t>
      </w:r>
    </w:p>
    <w:p w14:paraId="2CE8A708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3.2. Да бъде извършена проверка за системност на завишените сметки в региона.</w:t>
      </w:r>
    </w:p>
    <w:p w14:paraId="745CA4A3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3.3. При установени нарушения да бъдат предприети всички регулаторни мерки, включително:</w:t>
      </w:r>
    </w:p>
    <w:p w14:paraId="2124ED0A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 xml:space="preserve">- 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задължителни предписания за корекции на сметките на потребителите;</w:t>
      </w:r>
    </w:p>
    <w:p w14:paraId="20A65ACC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 xml:space="preserve">- 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съответните</w:t>
      </w: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 xml:space="preserve"> административно-наказателни 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санкции по ЗЕ;</w:t>
      </w:r>
    </w:p>
    <w:p w14:paraId="28F6067F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 xml:space="preserve">- 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предписание за възстановяване на неправомерно начислени суми, включително спрямо мен.</w:t>
      </w:r>
    </w:p>
    <w:p w14:paraId="01640D6F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lastRenderedPageBreak/>
        <w:t> </w:t>
      </w:r>
    </w:p>
    <w:p w14:paraId="7663FFE3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4. Приложения</w:t>
      </w:r>
    </w:p>
    <w:p w14:paraId="755C99E1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1.</w:t>
      </w:r>
      <w:r w:rsidRPr="003D37CE">
        <w:rPr>
          <w:rFonts w:ascii="Times New Roman" w:eastAsia="Times New Roman" w:hAnsi="Times New Roman" w:cs="Times New Roman"/>
          <w:color w:val="000000"/>
          <w:sz w:val="14"/>
          <w:szCs w:val="14"/>
          <w:lang w:eastAsia="bg-BG"/>
        </w:rPr>
        <w:t xml:space="preserve">  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Копия от сметките за последните месеци;</w:t>
      </w:r>
    </w:p>
    <w:p w14:paraId="7C884033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2.</w:t>
      </w:r>
      <w:r w:rsidRPr="003D37CE">
        <w:rPr>
          <w:rFonts w:ascii="Times New Roman" w:eastAsia="Times New Roman" w:hAnsi="Times New Roman" w:cs="Times New Roman"/>
          <w:color w:val="000000"/>
          <w:sz w:val="14"/>
          <w:szCs w:val="14"/>
          <w:lang w:eastAsia="bg-BG"/>
        </w:rPr>
        <w:t xml:space="preserve">  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Справка/снимки от електромера;</w:t>
      </w:r>
    </w:p>
    <w:p w14:paraId="1213E149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3.</w:t>
      </w:r>
      <w:r w:rsidRPr="003D37CE">
        <w:rPr>
          <w:rFonts w:ascii="Times New Roman" w:eastAsia="Times New Roman" w:hAnsi="Times New Roman" w:cs="Times New Roman"/>
          <w:color w:val="000000"/>
          <w:sz w:val="14"/>
          <w:szCs w:val="14"/>
          <w:lang w:eastAsia="bg-BG"/>
        </w:rPr>
        <w:t xml:space="preserve">  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Кореспонденция с EVN (ако има);</w:t>
      </w:r>
    </w:p>
    <w:p w14:paraId="1FB671A2" w14:textId="77777777" w:rsidR="003D37CE" w:rsidRPr="003D37CE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4.</w:t>
      </w:r>
      <w:r w:rsidRPr="003D37CE">
        <w:rPr>
          <w:rFonts w:ascii="Times New Roman" w:eastAsia="Times New Roman" w:hAnsi="Times New Roman" w:cs="Times New Roman"/>
          <w:color w:val="000000"/>
          <w:sz w:val="14"/>
          <w:szCs w:val="14"/>
          <w:lang w:eastAsia="bg-BG"/>
        </w:rPr>
        <w:t xml:space="preserve">  </w:t>
      </w: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Други документи по преценка.</w:t>
      </w:r>
    </w:p>
    <w:p w14:paraId="35320B99" w14:textId="77777777" w:rsidR="003D37CE" w:rsidRPr="003D37CE" w:rsidRDefault="003D37CE" w:rsidP="003D37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 </w:t>
      </w:r>
    </w:p>
    <w:p w14:paraId="5BF3CBD1" w14:textId="77777777" w:rsidR="003D37CE" w:rsidRPr="003D37CE" w:rsidRDefault="003D37CE" w:rsidP="003D37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 </w:t>
      </w:r>
    </w:p>
    <w:p w14:paraId="32DEE599" w14:textId="4FDE2CDE" w:rsidR="003D37CE" w:rsidRDefault="003D37CE" w:rsidP="003D37C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bg-BG"/>
        </w:rPr>
      </w:pPr>
      <w:r w:rsidRPr="003D37CE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 </w:t>
      </w:r>
    </w:p>
    <w:p w14:paraId="196C2308" w14:textId="6488B056" w:rsidR="003D37CE" w:rsidRDefault="003D37CE" w:rsidP="003D37C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bg-BG"/>
        </w:rPr>
      </w:pPr>
    </w:p>
    <w:p w14:paraId="6AE1C98D" w14:textId="77777777" w:rsidR="003D37CE" w:rsidRPr="003D37CE" w:rsidRDefault="003D37CE" w:rsidP="003D37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</w:p>
    <w:p w14:paraId="4BC70F7C" w14:textId="77777777" w:rsidR="003D37CE" w:rsidRPr="009B0F27" w:rsidRDefault="003D37CE" w:rsidP="003D37C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 </w:t>
      </w:r>
    </w:p>
    <w:p w14:paraId="2EA9EDA7" w14:textId="77777777" w:rsidR="003D37CE" w:rsidRPr="009B0F27" w:rsidRDefault="003D37CE" w:rsidP="003D37CE">
      <w:pPr>
        <w:spacing w:after="0" w:line="240" w:lineRule="auto"/>
        <w:ind w:left="851"/>
        <w:jc w:val="both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Дата:   </w:t>
      </w:r>
      <w:r>
        <w:rPr>
          <w:rFonts w:ascii="Calibri" w:eastAsia="Times New Roman" w:hAnsi="Calibri" w:cs="Calibri"/>
          <w:color w:val="000000"/>
          <w:sz w:val="24"/>
          <w:szCs w:val="24"/>
          <w:lang w:val="en-US" w:eastAsia="bg-BG"/>
        </w:rPr>
        <w:t xml:space="preserve">      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 xml:space="preserve">         </w:t>
      </w:r>
      <w:r w:rsidRPr="009B0F2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bg-BG"/>
        </w:rPr>
        <w:t>                               С УВАЖЕНИЕ: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bg-BG"/>
        </w:rPr>
        <w:t xml:space="preserve"> 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…………………………………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val="en-US" w:eastAsia="bg-BG"/>
        </w:rPr>
        <w:t>……………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  </w:t>
      </w:r>
    </w:p>
    <w:p w14:paraId="480EDED5" w14:textId="77777777" w:rsidR="003D37CE" w:rsidRDefault="003D37CE" w:rsidP="003D37CE">
      <w:pPr>
        <w:spacing w:after="0" w:line="240" w:lineRule="auto"/>
        <w:ind w:left="5664" w:firstLine="708"/>
        <w:rPr>
          <w:rFonts w:ascii="Calibri" w:eastAsia="Times New Roman" w:hAnsi="Calibri" w:cs="Calibri"/>
          <w:color w:val="000000"/>
          <w:sz w:val="24"/>
          <w:szCs w:val="24"/>
          <w:lang w:eastAsia="bg-BG"/>
        </w:rPr>
      </w:pPr>
      <w:r w:rsidRPr="009B0F27">
        <w:rPr>
          <w:rFonts w:ascii="Calibri" w:eastAsia="Times New Roman" w:hAnsi="Calibri" w:cs="Calibri"/>
          <w:color w:val="000000"/>
          <w:sz w:val="24"/>
          <w:szCs w:val="24"/>
          <w:vertAlign w:val="superscript"/>
          <w:lang w:eastAsia="bg-BG"/>
        </w:rPr>
        <w:t>(Три имена на подателя)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         </w:t>
      </w:r>
    </w:p>
    <w:p w14:paraId="7D876FEF" w14:textId="77777777" w:rsidR="003D37CE" w:rsidRDefault="003D37CE" w:rsidP="003D37CE">
      <w:pPr>
        <w:spacing w:after="0" w:line="240" w:lineRule="auto"/>
        <w:ind w:left="708" w:firstLine="708"/>
      </w:pP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…</w:t>
      </w:r>
      <w:r>
        <w:rPr>
          <w:rFonts w:ascii="Calibri" w:eastAsia="Times New Roman" w:hAnsi="Calibri" w:cs="Calibri"/>
          <w:color w:val="000000"/>
          <w:sz w:val="24"/>
          <w:szCs w:val="24"/>
          <w:lang w:val="en-US" w:eastAsia="bg-BG"/>
        </w:rPr>
        <w:t>…..</w:t>
      </w:r>
      <w:r w:rsidRPr="009B0F27">
        <w:rPr>
          <w:rFonts w:ascii="Calibri" w:eastAsia="Times New Roman" w:hAnsi="Calibri" w:cs="Calibri"/>
          <w:color w:val="000000"/>
          <w:sz w:val="24"/>
          <w:szCs w:val="24"/>
          <w:lang w:eastAsia="bg-BG"/>
        </w:rPr>
        <w:t>.02.2026.   </w:t>
      </w:r>
      <w:r>
        <w:rPr>
          <w:rFonts w:ascii="Calibri" w:eastAsia="Times New Roman" w:hAnsi="Calibri" w:cs="Calibri"/>
          <w:color w:val="000000"/>
          <w:sz w:val="24"/>
          <w:szCs w:val="24"/>
          <w:lang w:val="en-US" w:eastAsia="bg-BG"/>
        </w:rPr>
        <w:t xml:space="preserve"> </w:t>
      </w:r>
    </w:p>
    <w:p w14:paraId="21290371" w14:textId="77777777" w:rsidR="00D442FC" w:rsidRDefault="00D442FC"/>
    <w:sectPr w:rsidR="00D442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7CE"/>
    <w:rsid w:val="003D37CE"/>
    <w:rsid w:val="00D4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70BEA"/>
  <w15:chartTrackingRefBased/>
  <w15:docId w15:val="{84E71A4A-570C-4741-ABA3-1503CED9C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3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NormalWeb">
    <w:name w:val="Normal (Web)"/>
    <w:basedOn w:val="Normal"/>
    <w:uiPriority w:val="99"/>
    <w:semiHidden/>
    <w:unhideWhenUsed/>
    <w:rsid w:val="003D3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3D37CE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3D37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37C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89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1414</Words>
  <Characters>8060</Characters>
  <Application>Microsoft Office Word</Application>
  <DocSecurity>0</DocSecurity>
  <Lines>67</Lines>
  <Paragraphs>18</Paragraphs>
  <ScaleCrop>false</ScaleCrop>
  <Company/>
  <LinksUpToDate>false</LinksUpToDate>
  <CharactersWithSpaces>9456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Stanimir Karavelikov</dc:creator>
  <cp:keywords/>
  <dc:description/>
  <cp:lastModifiedBy>Stanimir Karavelikov</cp:lastModifiedBy>
  <cp:revision>1</cp:revision>
  <dcterms:created xsi:type="dcterms:W3CDTF">2026-02-06T07:11:00Z</dcterms:created>
  <dcterms:modified xsi:type="dcterms:W3CDTF">2026-02-06T07:18:00Z</dcterms:modified>
</cp:coreProperties>
</file>